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8FD" w:rsidRPr="001768FD" w:rsidRDefault="001768FD" w:rsidP="001768FD">
      <w:pPr>
        <w:jc w:val="center"/>
        <w:rPr>
          <w:bCs/>
          <w:sz w:val="32"/>
          <w:szCs w:val="32"/>
        </w:rPr>
      </w:pPr>
      <w:r w:rsidRPr="001768FD">
        <w:rPr>
          <w:bCs/>
          <w:sz w:val="32"/>
          <w:szCs w:val="32"/>
        </w:rPr>
        <w:t>CHL History Seminar</w:t>
      </w:r>
    </w:p>
    <w:p w:rsidR="001768FD" w:rsidRPr="001768FD" w:rsidRDefault="001768FD" w:rsidP="001768FD">
      <w:pPr>
        <w:jc w:val="center"/>
        <w:rPr>
          <w:bCs/>
        </w:rPr>
      </w:pPr>
      <w:r w:rsidRPr="001768FD">
        <w:rPr>
          <w:bCs/>
        </w:rPr>
        <w:t>Basham Roo</w:t>
      </w:r>
      <w:r>
        <w:rPr>
          <w:bCs/>
        </w:rPr>
        <w:t xml:space="preserve">m, </w:t>
      </w:r>
      <w:proofErr w:type="spellStart"/>
      <w:r>
        <w:rPr>
          <w:bCs/>
        </w:rPr>
        <w:t>Baldessin</w:t>
      </w:r>
      <w:proofErr w:type="spellEnd"/>
      <w:r>
        <w:rPr>
          <w:bCs/>
        </w:rPr>
        <w:t xml:space="preserve"> Precinct Building (#110)</w:t>
      </w:r>
    </w:p>
    <w:p w:rsidR="001768FD" w:rsidRPr="001768FD" w:rsidRDefault="001768FD" w:rsidP="001768FD">
      <w:pPr>
        <w:jc w:val="center"/>
        <w:rPr>
          <w:bCs/>
        </w:rPr>
      </w:pPr>
      <w:r w:rsidRPr="001768FD">
        <w:rPr>
          <w:bCs/>
        </w:rPr>
        <w:t>Friday 3 May, 1-3pm</w:t>
      </w:r>
    </w:p>
    <w:p w:rsidR="001768FD" w:rsidRDefault="001768FD" w:rsidP="001768FD">
      <w:pPr>
        <w:spacing w:after="0" w:line="240" w:lineRule="auto"/>
        <w:rPr>
          <w:b/>
          <w:bCs/>
        </w:rPr>
      </w:pPr>
    </w:p>
    <w:p w:rsidR="00F55994" w:rsidRDefault="00F55994" w:rsidP="00F55994">
      <w:pPr>
        <w:spacing w:after="0" w:line="240" w:lineRule="auto"/>
        <w:jc w:val="center"/>
        <w:rPr>
          <w:b/>
          <w:bCs/>
        </w:rPr>
      </w:pPr>
      <w:r w:rsidRPr="00F55994">
        <w:rPr>
          <w:b/>
          <w:bCs/>
          <w:noProof/>
          <w:lang w:eastAsia="en-AU"/>
        </w:rPr>
        <w:drawing>
          <wp:inline distT="0" distB="0" distL="0" distR="0">
            <wp:extent cx="2743200" cy="2043053"/>
            <wp:effectExtent l="0" t="0" r="0" b="0"/>
            <wp:docPr id="1" name="Picture 1" descr="F:\nalaw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alawan.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56100" cy="2052660"/>
                    </a:xfrm>
                    <a:prstGeom prst="rect">
                      <a:avLst/>
                    </a:prstGeom>
                    <a:noFill/>
                    <a:ln>
                      <a:noFill/>
                    </a:ln>
                  </pic:spPr>
                </pic:pic>
              </a:graphicData>
            </a:graphic>
          </wp:inline>
        </w:drawing>
      </w:r>
    </w:p>
    <w:p w:rsidR="00F55994" w:rsidRDefault="00F55994" w:rsidP="001768FD">
      <w:pPr>
        <w:spacing w:after="0" w:line="240" w:lineRule="auto"/>
        <w:rPr>
          <w:b/>
          <w:bCs/>
        </w:rPr>
      </w:pPr>
    </w:p>
    <w:p w:rsidR="001768FD" w:rsidRPr="001768FD" w:rsidRDefault="001768FD" w:rsidP="001768FD">
      <w:pPr>
        <w:spacing w:after="0" w:line="240" w:lineRule="auto"/>
        <w:rPr>
          <w:b/>
          <w:bCs/>
        </w:rPr>
      </w:pPr>
      <w:r w:rsidRPr="001768FD">
        <w:rPr>
          <w:b/>
          <w:bCs/>
        </w:rPr>
        <w:t>Speaker:</w:t>
      </w:r>
      <w:bookmarkStart w:id="0" w:name="_GoBack"/>
      <w:bookmarkEnd w:id="0"/>
    </w:p>
    <w:p w:rsidR="001768FD" w:rsidRDefault="001768FD" w:rsidP="001768FD">
      <w:pPr>
        <w:spacing w:after="0" w:line="240" w:lineRule="auto"/>
        <w:rPr>
          <w:bCs/>
        </w:rPr>
      </w:pPr>
    </w:p>
    <w:p w:rsidR="001768FD" w:rsidRPr="001768FD" w:rsidRDefault="001768FD" w:rsidP="001768FD">
      <w:pPr>
        <w:spacing w:after="0" w:line="240" w:lineRule="auto"/>
        <w:rPr>
          <w:bCs/>
        </w:rPr>
      </w:pPr>
      <w:r w:rsidRPr="001768FD">
        <w:rPr>
          <w:bCs/>
        </w:rPr>
        <w:t xml:space="preserve">Paul Mitchell </w:t>
      </w:r>
    </w:p>
    <w:p w:rsidR="001768FD" w:rsidRDefault="001768FD" w:rsidP="001768FD">
      <w:pPr>
        <w:spacing w:after="0" w:line="240" w:lineRule="auto"/>
        <w:rPr>
          <w:b/>
          <w:bCs/>
        </w:rPr>
      </w:pPr>
    </w:p>
    <w:p w:rsidR="001768FD" w:rsidRPr="001768FD" w:rsidRDefault="001768FD" w:rsidP="001768FD">
      <w:pPr>
        <w:spacing w:after="0" w:line="240" w:lineRule="auto"/>
        <w:rPr>
          <w:b/>
          <w:bCs/>
        </w:rPr>
      </w:pPr>
      <w:r w:rsidRPr="001768FD">
        <w:rPr>
          <w:b/>
          <w:bCs/>
        </w:rPr>
        <w:t xml:space="preserve">Title: </w:t>
      </w:r>
    </w:p>
    <w:p w:rsidR="001768FD" w:rsidRDefault="001768FD" w:rsidP="001768FD">
      <w:pPr>
        <w:spacing w:after="0" w:line="240" w:lineRule="auto"/>
      </w:pPr>
    </w:p>
    <w:p w:rsidR="001768FD" w:rsidRPr="001768FD" w:rsidRDefault="001768FD" w:rsidP="001768FD">
      <w:pPr>
        <w:spacing w:after="0" w:line="240" w:lineRule="auto"/>
      </w:pPr>
      <w:proofErr w:type="spellStart"/>
      <w:r w:rsidRPr="001768FD">
        <w:t>Nemasien</w:t>
      </w:r>
      <w:proofErr w:type="spellEnd"/>
      <w:r w:rsidRPr="001768FD">
        <w:t xml:space="preserve">: </w:t>
      </w:r>
      <w:proofErr w:type="spellStart"/>
      <w:r w:rsidRPr="001768FD">
        <w:t>Mbwotegot</w:t>
      </w:r>
      <w:proofErr w:type="spellEnd"/>
      <w:r w:rsidRPr="001768FD">
        <w:t xml:space="preserve"> Cosmology in Transition</w:t>
      </w:r>
      <w:r>
        <w:t xml:space="preserve"> (final thesis presentation)</w:t>
      </w:r>
    </w:p>
    <w:p w:rsidR="001768FD" w:rsidRDefault="001768FD" w:rsidP="001768FD">
      <w:pPr>
        <w:spacing w:after="0" w:line="240" w:lineRule="auto"/>
        <w:rPr>
          <w:b/>
          <w:bCs/>
        </w:rPr>
      </w:pPr>
    </w:p>
    <w:p w:rsidR="001768FD" w:rsidRPr="001768FD" w:rsidRDefault="001768FD" w:rsidP="001768FD">
      <w:pPr>
        <w:spacing w:after="0" w:line="240" w:lineRule="auto"/>
      </w:pPr>
      <w:r w:rsidRPr="001768FD">
        <w:rPr>
          <w:b/>
          <w:bCs/>
        </w:rPr>
        <w:t xml:space="preserve">Abstract: </w:t>
      </w:r>
    </w:p>
    <w:p w:rsidR="001768FD" w:rsidRDefault="001768FD" w:rsidP="001768FD">
      <w:pPr>
        <w:spacing w:after="0" w:line="240" w:lineRule="auto"/>
        <w:rPr>
          <w:b/>
          <w:bCs/>
        </w:rPr>
      </w:pPr>
    </w:p>
    <w:p w:rsidR="001768FD" w:rsidRPr="001768FD" w:rsidRDefault="001768FD" w:rsidP="001768FD">
      <w:pPr>
        <w:spacing w:after="0" w:line="240" w:lineRule="auto"/>
      </w:pPr>
      <w:r w:rsidRPr="001768FD">
        <w:t xml:space="preserve">This thesis explores the ways in which Oceanic Theology has influenced the </w:t>
      </w:r>
      <w:proofErr w:type="spellStart"/>
      <w:r w:rsidRPr="001768FD">
        <w:t>Mbwotegot</w:t>
      </w:r>
      <w:proofErr w:type="spellEnd"/>
      <w:r w:rsidRPr="001768FD">
        <w:t xml:space="preserve"> of south central </w:t>
      </w:r>
      <w:proofErr w:type="spellStart"/>
      <w:r w:rsidRPr="001768FD">
        <w:t>Malekula</w:t>
      </w:r>
      <w:proofErr w:type="spellEnd"/>
      <w:r w:rsidRPr="001768FD">
        <w:t xml:space="preserve"> in their recent adoption of Christianity, to contextualise the cultural knowledge that underpins socio-political regeneration and projection. The </w:t>
      </w:r>
      <w:proofErr w:type="spellStart"/>
      <w:r w:rsidRPr="001768FD">
        <w:t>Mbwotegot</w:t>
      </w:r>
      <w:proofErr w:type="spellEnd"/>
      <w:r w:rsidRPr="001768FD">
        <w:t xml:space="preserve">-speaking peoples inhabit the rugged interior of south </w:t>
      </w:r>
      <w:proofErr w:type="spellStart"/>
      <w:r w:rsidRPr="001768FD">
        <w:t>Malekula</w:t>
      </w:r>
      <w:proofErr w:type="spellEnd"/>
      <w:r w:rsidRPr="001768FD">
        <w:t xml:space="preserve"> in Vanuatu, an area still without infrastructure such as roads, airstrips and permanent settlements. Due to the difficulties of their terrain</w:t>
      </w:r>
      <w:r>
        <w:t>,</w:t>
      </w:r>
      <w:r w:rsidRPr="001768FD">
        <w:t xml:space="preserve"> the </w:t>
      </w:r>
      <w:proofErr w:type="spellStart"/>
      <w:r w:rsidRPr="001768FD">
        <w:t>Mbwotegot</w:t>
      </w:r>
      <w:proofErr w:type="spellEnd"/>
      <w:r w:rsidRPr="001768FD">
        <w:t xml:space="preserve"> </w:t>
      </w:r>
      <w:proofErr w:type="gramStart"/>
      <w:r w:rsidRPr="001768FD">
        <w:t>were largely ignored</w:t>
      </w:r>
      <w:proofErr w:type="gramEnd"/>
      <w:r w:rsidRPr="001768FD">
        <w:t xml:space="preserve"> by administrators, planters and missionaries during the colonial era. For many years, </w:t>
      </w:r>
      <w:proofErr w:type="spellStart"/>
      <w:r w:rsidRPr="001768FD">
        <w:t>Mbwotegot</w:t>
      </w:r>
      <w:proofErr w:type="spellEnd"/>
      <w:r w:rsidRPr="001768FD">
        <w:t xml:space="preserve"> disdained Christianity, until their collective conversion during the 1980s, just prior to the Presbyterian adoption of ‘gospel and culture’ pedagogy in Vanuatu. Informed by the rising influence of Oceanic Theology, ‘gospel and culture’ privileges indigenous contextualisation. This framework has enabled Christian </w:t>
      </w:r>
      <w:proofErr w:type="spellStart"/>
      <w:r w:rsidRPr="001768FD">
        <w:t>Mbwotegot</w:t>
      </w:r>
      <w:proofErr w:type="spellEnd"/>
      <w:r w:rsidRPr="001768FD">
        <w:t xml:space="preserve"> to retain significant pre-Christian cosmological understanding and ceremonial practice, including the </w:t>
      </w:r>
      <w:proofErr w:type="spellStart"/>
      <w:r w:rsidRPr="001768FD">
        <w:rPr>
          <w:i/>
          <w:iCs/>
        </w:rPr>
        <w:t>nalawan</w:t>
      </w:r>
      <w:proofErr w:type="spellEnd"/>
      <w:r w:rsidRPr="001768FD">
        <w:t xml:space="preserve"> ceremonial cycle and the </w:t>
      </w:r>
      <w:proofErr w:type="spellStart"/>
      <w:r w:rsidRPr="001768FD">
        <w:rPr>
          <w:i/>
          <w:iCs/>
        </w:rPr>
        <w:t>nemasien</w:t>
      </w:r>
      <w:proofErr w:type="spellEnd"/>
      <w:r>
        <w:t xml:space="preserve"> funerary </w:t>
      </w:r>
      <w:proofErr w:type="spellStart"/>
      <w:r>
        <w:t>practices</w:t>
      </w:r>
      <w:r w:rsidRPr="001768FD">
        <w:t>which</w:t>
      </w:r>
      <w:proofErr w:type="spellEnd"/>
      <w:r w:rsidRPr="001768FD">
        <w:t xml:space="preserve"> close off that cycle. </w:t>
      </w:r>
    </w:p>
    <w:p w:rsidR="001768FD" w:rsidRDefault="001768FD" w:rsidP="001768FD">
      <w:pPr>
        <w:spacing w:after="0" w:line="240" w:lineRule="auto"/>
      </w:pPr>
    </w:p>
    <w:p w:rsidR="001768FD" w:rsidRPr="001768FD" w:rsidRDefault="001768FD" w:rsidP="001768FD">
      <w:pPr>
        <w:spacing w:after="0" w:line="240" w:lineRule="auto"/>
      </w:pPr>
      <w:r w:rsidRPr="001768FD">
        <w:t xml:space="preserve">The major colonial-era impact on </w:t>
      </w:r>
      <w:proofErr w:type="spellStart"/>
      <w:r w:rsidRPr="001768FD">
        <w:t>Mbwotegot</w:t>
      </w:r>
      <w:proofErr w:type="spellEnd"/>
      <w:r w:rsidRPr="001768FD">
        <w:t xml:space="preserve"> was severe depopulation, creating for them an ongoing susceptibility to a globally driven development ‘frontier’ in their lands. This thesis argues that the </w:t>
      </w:r>
      <w:proofErr w:type="spellStart"/>
      <w:r w:rsidRPr="001768FD">
        <w:t>Mbwotegot</w:t>
      </w:r>
      <w:proofErr w:type="spellEnd"/>
      <w:r w:rsidRPr="001768FD">
        <w:t xml:space="preserve"> </w:t>
      </w:r>
      <w:proofErr w:type="spellStart"/>
      <w:r w:rsidRPr="001768FD">
        <w:rPr>
          <w:i/>
          <w:iCs/>
        </w:rPr>
        <w:t>nalawan</w:t>
      </w:r>
      <w:proofErr w:type="spellEnd"/>
      <w:r w:rsidRPr="001768FD">
        <w:t xml:space="preserve"> and in particular the </w:t>
      </w:r>
      <w:proofErr w:type="spellStart"/>
      <w:r w:rsidRPr="001768FD">
        <w:rPr>
          <w:i/>
          <w:iCs/>
        </w:rPr>
        <w:t>nemasien</w:t>
      </w:r>
      <w:proofErr w:type="spellEnd"/>
      <w:r w:rsidRPr="001768FD">
        <w:t xml:space="preserve"> funerary practices, publicly re-assert the associations of lineage with place, and re-affirm a network of allied support for that assertion. This thesis further argues that these ‘geographies of power’ are not only important in maintaining stable land tenure relations as </w:t>
      </w:r>
      <w:proofErr w:type="spellStart"/>
      <w:r w:rsidRPr="001768FD">
        <w:t>Mbwotegot</w:t>
      </w:r>
      <w:proofErr w:type="spellEnd"/>
      <w:r w:rsidRPr="001768FD">
        <w:t xml:space="preserve"> numbers rise, but are also a local expression of global frontier-making practices, offering a potential foundation for </w:t>
      </w:r>
      <w:proofErr w:type="spellStart"/>
      <w:r w:rsidRPr="001768FD">
        <w:t>Mbwotegot</w:t>
      </w:r>
      <w:proofErr w:type="spellEnd"/>
      <w:r w:rsidRPr="001768FD">
        <w:t xml:space="preserve"> ‘conjuring of scale’ to counter the cultural erasure upon which frontiers are projected. </w:t>
      </w:r>
    </w:p>
    <w:p w:rsidR="008341A5" w:rsidRDefault="00F55994"/>
    <w:sectPr w:rsidR="008341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8FD"/>
    <w:rsid w:val="001768FD"/>
    <w:rsid w:val="003437C7"/>
    <w:rsid w:val="00F55994"/>
    <w:rsid w:val="00FB0F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1D9A6"/>
  <w15:chartTrackingRefBased/>
  <w15:docId w15:val="{D10F5B47-403A-4851-B9E5-90952C90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97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Ballard</dc:creator>
  <cp:keywords/>
  <dc:description/>
  <cp:lastModifiedBy>Christopher Ballard</cp:lastModifiedBy>
  <cp:revision>2</cp:revision>
  <dcterms:created xsi:type="dcterms:W3CDTF">2019-04-23T05:02:00Z</dcterms:created>
  <dcterms:modified xsi:type="dcterms:W3CDTF">2019-04-23T05:10:00Z</dcterms:modified>
</cp:coreProperties>
</file>